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90060" w14:textId="77777777" w:rsidR="00E20728" w:rsidRDefault="00E20728" w:rsidP="003D76F8">
      <w:pPr>
        <w:spacing w:line="480" w:lineRule="auto"/>
        <w:rPr>
          <w:rFonts w:ascii="Times New Roman" w:hAnsi="Times New Roman" w:cs="Times New Roman"/>
          <w:sz w:val="24"/>
          <w:szCs w:val="24"/>
        </w:rPr>
      </w:pPr>
    </w:p>
    <w:p w14:paraId="69B03751" w14:textId="77777777" w:rsidR="00A64B0F" w:rsidRDefault="00A64B0F" w:rsidP="00A64B0F">
      <w:pPr>
        <w:spacing w:line="480" w:lineRule="auto"/>
        <w:jc w:val="center"/>
        <w:rPr>
          <w:rFonts w:ascii="Times New Roman" w:hAnsi="Times New Roman" w:cs="Times New Roman"/>
          <w:sz w:val="24"/>
          <w:szCs w:val="24"/>
        </w:rPr>
      </w:pPr>
    </w:p>
    <w:p w14:paraId="28471377" w14:textId="77777777" w:rsidR="00A64B0F" w:rsidRDefault="00A64B0F" w:rsidP="00A64B0F">
      <w:pPr>
        <w:spacing w:line="480" w:lineRule="auto"/>
        <w:jc w:val="center"/>
        <w:rPr>
          <w:rFonts w:ascii="Times New Roman" w:hAnsi="Times New Roman" w:cs="Times New Roman"/>
          <w:sz w:val="24"/>
          <w:szCs w:val="24"/>
        </w:rPr>
      </w:pPr>
    </w:p>
    <w:p w14:paraId="49C28B6E" w14:textId="77777777" w:rsidR="00A64B0F" w:rsidRDefault="00A64B0F" w:rsidP="00A64B0F">
      <w:pPr>
        <w:spacing w:line="480" w:lineRule="auto"/>
        <w:jc w:val="center"/>
        <w:rPr>
          <w:rFonts w:ascii="Times New Roman" w:hAnsi="Times New Roman" w:cs="Times New Roman"/>
          <w:sz w:val="24"/>
          <w:szCs w:val="24"/>
        </w:rPr>
      </w:pPr>
    </w:p>
    <w:p w14:paraId="476BD493" w14:textId="77777777" w:rsidR="00A64B0F" w:rsidRDefault="00A64B0F" w:rsidP="00A64B0F">
      <w:pPr>
        <w:spacing w:line="480" w:lineRule="auto"/>
        <w:jc w:val="center"/>
        <w:rPr>
          <w:rFonts w:ascii="Times New Roman" w:hAnsi="Times New Roman" w:cs="Times New Roman"/>
          <w:sz w:val="24"/>
          <w:szCs w:val="24"/>
        </w:rPr>
      </w:pPr>
    </w:p>
    <w:p w14:paraId="0EC6EE89" w14:textId="77777777" w:rsidR="00A64B0F" w:rsidRDefault="00A64B0F" w:rsidP="00A64B0F">
      <w:pPr>
        <w:spacing w:line="480" w:lineRule="auto"/>
        <w:jc w:val="center"/>
        <w:rPr>
          <w:rFonts w:ascii="Times New Roman" w:hAnsi="Times New Roman" w:cs="Times New Roman"/>
          <w:sz w:val="24"/>
          <w:szCs w:val="24"/>
        </w:rPr>
      </w:pPr>
    </w:p>
    <w:p w14:paraId="00B9BD2A" w14:textId="77777777" w:rsidR="00A64B0F" w:rsidRDefault="00A64B0F" w:rsidP="00A64B0F">
      <w:pPr>
        <w:spacing w:line="480" w:lineRule="auto"/>
        <w:jc w:val="center"/>
        <w:rPr>
          <w:rFonts w:ascii="Times New Roman" w:hAnsi="Times New Roman" w:cs="Times New Roman"/>
          <w:sz w:val="24"/>
          <w:szCs w:val="24"/>
        </w:rPr>
      </w:pPr>
    </w:p>
    <w:p w14:paraId="709A9AFE" w14:textId="77777777" w:rsidR="00A64B0F" w:rsidRDefault="00E20728" w:rsidP="00A64B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Organizational </w:t>
      </w:r>
      <w:r w:rsidR="00A64B0F">
        <w:rPr>
          <w:rFonts w:ascii="Times New Roman" w:hAnsi="Times New Roman" w:cs="Times New Roman"/>
          <w:sz w:val="24"/>
          <w:szCs w:val="24"/>
        </w:rPr>
        <w:t>Readiness Survey Tool</w:t>
      </w:r>
    </w:p>
    <w:p w14:paraId="3D3ECBF6" w14:textId="17585AD1" w:rsidR="00E20728" w:rsidRDefault="00E20728" w:rsidP="009E360F">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52661412" w14:textId="77777777"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lastRenderedPageBreak/>
        <w:t>Organizational Culture Survey Tool</w:t>
      </w:r>
    </w:p>
    <w:p w14:paraId="311CD4E0" w14:textId="3C762369" w:rsidR="00881E6B" w:rsidRPr="00881E6B" w:rsidRDefault="00881E6B" w:rsidP="00881E6B">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Implementation of Evidence-Based Practice (EBP) implementation is the foundation for quality care. The selected organizational culture survey tool is the Organizational Readiness to Change Assessment (ORCA) tool. This survey tool measures the readiness of an organization in the implementation of EBP in clinical settings. The ORCA tool is essential in the identification and monitoring of the organization’s strengths and weaknesses to support the implementation of EBP (</w:t>
      </w:r>
      <w:proofErr w:type="spellStart"/>
      <w:r w:rsidRPr="00881E6B">
        <w:rPr>
          <w:rFonts w:ascii="Times New Roman" w:hAnsi="Times New Roman" w:cs="Times New Roman"/>
          <w:sz w:val="24"/>
          <w:szCs w:val="24"/>
        </w:rPr>
        <w:t>Puchalski</w:t>
      </w:r>
      <w:proofErr w:type="spellEnd"/>
      <w:r w:rsidRPr="00881E6B">
        <w:rPr>
          <w:rFonts w:ascii="Times New Roman" w:hAnsi="Times New Roman" w:cs="Times New Roman"/>
          <w:sz w:val="24"/>
          <w:szCs w:val="24"/>
        </w:rPr>
        <w:t xml:space="preserve"> &amp; Straus, 2019). This tool can also be used to support innovation in a clinical setting.</w:t>
      </w:r>
    </w:p>
    <w:p w14:paraId="3A1F6327" w14:textId="77777777"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Organization’s Readiness Level</w:t>
      </w:r>
    </w:p>
    <w:p w14:paraId="612B9779" w14:textId="1B393E3A" w:rsidR="00881E6B" w:rsidRPr="00881E6B" w:rsidRDefault="00881E6B" w:rsidP="00881E6B">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The findings of the organizational culture and readiness evaluation depict the readiness of the healthcare organization to participate in evidence-based practice. The healthcare providers are committed to the implementation of evidence-based practice and supporting other staff in training. Healthcare providers have the passion for utilizing personalized nutritional plans to manage type II diabetic patients and in return, lower the number of readmissions into the facility. The facility will also provide research-based resources for future research in the implementation of personalized nutritional plans to treat patients with type II diabetes. </w:t>
      </w:r>
    </w:p>
    <w:p w14:paraId="16B32438" w14:textId="77777777" w:rsid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Barriers</w:t>
      </w:r>
    </w:p>
    <w:p w14:paraId="3303EF08" w14:textId="0899FE08"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sz w:val="24"/>
          <w:szCs w:val="24"/>
        </w:rPr>
        <w:t xml:space="preserve">The barrier that I foresee to affect the EBP is funding. It might be challenging to find an organization that will support and fund the practice. Resources are very scarce; hence, it is hard for organizations to sponsor the research. The other challenge would be granting of approval to conduct the study. Not all organizations support evidence-based practices within the organization as the exercises are quite expensive to implement. </w:t>
      </w:r>
    </w:p>
    <w:p w14:paraId="38F5C931" w14:textId="77777777"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lastRenderedPageBreak/>
        <w:t>The Facilitators</w:t>
      </w:r>
    </w:p>
    <w:p w14:paraId="48343AFC" w14:textId="77777777" w:rsidR="00881E6B" w:rsidRPr="00881E6B" w:rsidRDefault="00881E6B" w:rsidP="00881E6B">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The facilitators of this evidence-based practice will help in the funding of the research and its implementation in various organizations. The study will also help in the adoption of personalized nutritional plans to treat patients with type II diabetes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Facilitators include National Initiatives, including the Centers for Medicare and Medicaid Services Hospital Readmissions Reduction Program (HRRP). These initiatives are concerned with the reduction of preventable hospital readmissions. </w:t>
      </w:r>
    </w:p>
    <w:p w14:paraId="16C7BBC0" w14:textId="77777777"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Integration of Clinical Inquiry</w:t>
      </w:r>
    </w:p>
    <w:p w14:paraId="077A854D" w14:textId="77777777" w:rsidR="00881E6B" w:rsidRPr="00881E6B" w:rsidRDefault="00881E6B" w:rsidP="00881E6B">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Clinical inquiry skills are essential in the implementation of evidence-based practice. Clinical inquiry entails asking related clinical questions to ensure that the best practices are being used. The clinical investigations will, therefore, aim at improving the quality of healthcare provision to patients with type II diabetes and research to generate new knowledge that is implemented in the form of EBP.</w:t>
      </w:r>
    </w:p>
    <w:p w14:paraId="02589891" w14:textId="77777777" w:rsidR="00881E6B" w:rsidRPr="00881E6B" w:rsidRDefault="00881E6B" w:rsidP="00881E6B">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Conclusion</w:t>
      </w:r>
    </w:p>
    <w:p w14:paraId="04BAEC1A" w14:textId="1BE1B1FE" w:rsidR="0000501F" w:rsidRDefault="00881E6B" w:rsidP="00881E6B">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Lastly, for the achievement of a reduced rate of hospital readmissions, the adoption of the personalized nutritional plan is vital in treating patients with type II diabetes. The organization’s readiness will also be essential for the achievement of the outcome and implementation of evidence-based practice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w:t>
      </w:r>
      <w:r w:rsidR="0000501F">
        <w:rPr>
          <w:rFonts w:ascii="Times New Roman" w:hAnsi="Times New Roman" w:cs="Times New Roman"/>
          <w:sz w:val="24"/>
          <w:szCs w:val="24"/>
        </w:rPr>
        <w:br w:type="page"/>
      </w:r>
    </w:p>
    <w:p w14:paraId="12005DD7" w14:textId="77777777" w:rsidR="0000501F" w:rsidRPr="0000501F" w:rsidRDefault="0000501F" w:rsidP="0000501F">
      <w:pPr>
        <w:shd w:val="clear" w:color="auto" w:fill="FFFFFF"/>
        <w:spacing w:after="0" w:line="240" w:lineRule="auto"/>
        <w:jc w:val="center"/>
        <w:rPr>
          <w:rFonts w:ascii="Times New Roman" w:eastAsia="Times New Roman" w:hAnsi="Times New Roman" w:cs="Times New Roman"/>
          <w:color w:val="000000"/>
          <w:sz w:val="24"/>
          <w:szCs w:val="24"/>
        </w:rPr>
      </w:pPr>
      <w:r w:rsidRPr="0000501F">
        <w:rPr>
          <w:rFonts w:ascii="Times New Roman" w:eastAsia="Times New Roman" w:hAnsi="Times New Roman" w:cs="Times New Roman"/>
          <w:color w:val="000000"/>
          <w:sz w:val="24"/>
          <w:szCs w:val="24"/>
        </w:rPr>
        <w:lastRenderedPageBreak/>
        <w:t>References</w:t>
      </w:r>
    </w:p>
    <w:p w14:paraId="331CC404" w14:textId="77777777" w:rsidR="0000501F" w:rsidRPr="0000501F" w:rsidRDefault="0000501F" w:rsidP="0000501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501F">
        <w:rPr>
          <w:rFonts w:ascii="Times New Roman" w:eastAsia="Times New Roman" w:hAnsi="Times New Roman" w:cs="Times New Roman"/>
          <w:color w:val="000000"/>
          <w:sz w:val="24"/>
          <w:szCs w:val="24"/>
        </w:rPr>
        <w:t>Ceriello</w:t>
      </w:r>
      <w:proofErr w:type="spellEnd"/>
      <w:r w:rsidRPr="0000501F">
        <w:rPr>
          <w:rFonts w:ascii="Times New Roman" w:eastAsia="Times New Roman" w:hAnsi="Times New Roman" w:cs="Times New Roman"/>
          <w:color w:val="000000"/>
          <w:sz w:val="24"/>
          <w:szCs w:val="24"/>
        </w:rPr>
        <w:t xml:space="preserve">, A., Gallo, M., Candido, R., Di </w:t>
      </w:r>
      <w:proofErr w:type="spellStart"/>
      <w:r w:rsidRPr="0000501F">
        <w:rPr>
          <w:rFonts w:ascii="Times New Roman" w:eastAsia="Times New Roman" w:hAnsi="Times New Roman" w:cs="Times New Roman"/>
          <w:color w:val="000000"/>
          <w:sz w:val="24"/>
          <w:szCs w:val="24"/>
        </w:rPr>
        <w:t>Micheli</w:t>
      </w:r>
      <w:proofErr w:type="spellEnd"/>
      <w:r w:rsidRPr="0000501F">
        <w:rPr>
          <w:rFonts w:ascii="Times New Roman" w:eastAsia="Times New Roman" w:hAnsi="Times New Roman" w:cs="Times New Roman"/>
          <w:color w:val="000000"/>
          <w:sz w:val="24"/>
          <w:szCs w:val="24"/>
        </w:rPr>
        <w:t xml:space="preserve">, A., Esposito, K., Gentile, S., &amp; Medea, G. (2014). Personalized therapy algorithms for type 2 diabetes: a </w:t>
      </w:r>
      <w:proofErr w:type="gramStart"/>
      <w:r w:rsidRPr="0000501F">
        <w:rPr>
          <w:rFonts w:ascii="Times New Roman" w:eastAsia="Times New Roman" w:hAnsi="Times New Roman" w:cs="Times New Roman"/>
          <w:color w:val="000000"/>
          <w:sz w:val="24"/>
          <w:szCs w:val="24"/>
        </w:rPr>
        <w:t>phenotype-based</w:t>
      </w:r>
      <w:proofErr w:type="gramEnd"/>
      <w:r w:rsidRPr="0000501F">
        <w:rPr>
          <w:rFonts w:ascii="Times New Roman" w:eastAsia="Times New Roman" w:hAnsi="Times New Roman" w:cs="Times New Roman"/>
          <w:color w:val="000000"/>
          <w:sz w:val="24"/>
          <w:szCs w:val="24"/>
        </w:rPr>
        <w:t>. Retrieved from https://www.dovepress.com/personalized-therapy-algorithms-for-type-2-diabetes-a-phenotype-based--peer-reviewed-fulltext-article-PGPM</w:t>
      </w:r>
    </w:p>
    <w:p w14:paraId="7198AF28" w14:textId="77777777" w:rsidR="0000501F" w:rsidRPr="0000501F" w:rsidRDefault="0000501F" w:rsidP="0000501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501F">
        <w:rPr>
          <w:rFonts w:ascii="Times New Roman" w:eastAsia="Times New Roman" w:hAnsi="Times New Roman" w:cs="Times New Roman"/>
          <w:color w:val="000000"/>
          <w:sz w:val="24"/>
          <w:szCs w:val="24"/>
        </w:rPr>
        <w:t>Puchalski</w:t>
      </w:r>
      <w:proofErr w:type="spellEnd"/>
      <w:r w:rsidRPr="0000501F">
        <w:rPr>
          <w:rFonts w:ascii="Times New Roman" w:eastAsia="Times New Roman" w:hAnsi="Times New Roman" w:cs="Times New Roman"/>
          <w:color w:val="000000"/>
          <w:sz w:val="24"/>
          <w:szCs w:val="24"/>
        </w:rPr>
        <w:t>, L. M., &amp; Straus, S. E. (2019, January 8). Assessing Organizational Readiness for Change: Comment on "Development and Content Validation of a Transcultural Instrument to Assess Organizational Readiness for Knowledge Translation in Healthcare Organizations: The OR4KT". Retrieved from https://www.ncbi.nlm.nih.gov/pmc/articles/PMC6358647/</w:t>
      </w:r>
    </w:p>
    <w:p w14:paraId="09848C58" w14:textId="77777777" w:rsidR="00E6388F" w:rsidRDefault="00E6388F" w:rsidP="003D76F8">
      <w:pPr>
        <w:spacing w:line="480" w:lineRule="auto"/>
        <w:rPr>
          <w:rFonts w:ascii="Times New Roman" w:hAnsi="Times New Roman" w:cs="Times New Roman"/>
          <w:sz w:val="24"/>
          <w:szCs w:val="24"/>
        </w:rPr>
      </w:pPr>
    </w:p>
    <w:p w14:paraId="3D08B45B" w14:textId="77777777" w:rsidR="003C6C9C" w:rsidRDefault="003C6C9C" w:rsidP="003D76F8">
      <w:pPr>
        <w:spacing w:line="480" w:lineRule="auto"/>
        <w:rPr>
          <w:rFonts w:ascii="Times New Roman" w:hAnsi="Times New Roman" w:cs="Times New Roman"/>
          <w:sz w:val="24"/>
          <w:szCs w:val="24"/>
        </w:rPr>
      </w:pPr>
    </w:p>
    <w:p w14:paraId="11FBDD3B" w14:textId="77777777" w:rsidR="001B7CE4" w:rsidRPr="005914F2" w:rsidRDefault="001B7CE4" w:rsidP="005914F2">
      <w:pPr>
        <w:spacing w:line="480" w:lineRule="auto"/>
        <w:rPr>
          <w:rFonts w:ascii="Times New Roman" w:hAnsi="Times New Roman" w:cs="Times New Roman"/>
          <w:sz w:val="24"/>
          <w:szCs w:val="24"/>
        </w:rPr>
      </w:pPr>
    </w:p>
    <w:sectPr w:rsidR="001B7CE4" w:rsidRPr="005914F2" w:rsidSect="00A64B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41335" w14:textId="77777777" w:rsidR="000F15E1" w:rsidRDefault="000F15E1" w:rsidP="00A64B0F">
      <w:pPr>
        <w:spacing w:after="0" w:line="240" w:lineRule="auto"/>
      </w:pPr>
      <w:r>
        <w:separator/>
      </w:r>
    </w:p>
  </w:endnote>
  <w:endnote w:type="continuationSeparator" w:id="0">
    <w:p w14:paraId="76F9BD5E" w14:textId="77777777" w:rsidR="000F15E1" w:rsidRDefault="000F15E1" w:rsidP="00A64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E2972" w14:textId="77777777" w:rsidR="000F15E1" w:rsidRDefault="000F15E1" w:rsidP="00A64B0F">
      <w:pPr>
        <w:spacing w:after="0" w:line="240" w:lineRule="auto"/>
      </w:pPr>
      <w:r>
        <w:separator/>
      </w:r>
    </w:p>
  </w:footnote>
  <w:footnote w:type="continuationSeparator" w:id="0">
    <w:p w14:paraId="5121EE63" w14:textId="77777777" w:rsidR="000F15E1" w:rsidRDefault="000F15E1" w:rsidP="00A64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478460"/>
      <w:docPartObj>
        <w:docPartGallery w:val="Page Numbers (Top of Page)"/>
        <w:docPartUnique/>
      </w:docPartObj>
    </w:sdtPr>
    <w:sdtEndPr>
      <w:rPr>
        <w:noProof/>
      </w:rPr>
    </w:sdtEndPr>
    <w:sdtContent>
      <w:p w14:paraId="284A89B2" w14:textId="77777777" w:rsidR="00A64B0F" w:rsidRDefault="00A64B0F">
        <w:pPr>
          <w:pStyle w:val="Header"/>
          <w:jc w:val="right"/>
        </w:pPr>
        <w:r>
          <w:fldChar w:fldCharType="begin"/>
        </w:r>
        <w:r>
          <w:instrText xml:space="preserve"> PAGE   \* MERGEFORMAT </w:instrText>
        </w:r>
        <w:r>
          <w:fldChar w:fldCharType="separate"/>
        </w:r>
        <w:r w:rsidR="002A5C3D">
          <w:rPr>
            <w:noProof/>
          </w:rPr>
          <w:t>4</w:t>
        </w:r>
        <w:r>
          <w:rPr>
            <w:noProof/>
          </w:rPr>
          <w:fldChar w:fldCharType="end"/>
        </w:r>
      </w:p>
    </w:sdtContent>
  </w:sdt>
  <w:p w14:paraId="4E9146B5" w14:textId="77777777" w:rsidR="00A64B0F" w:rsidRDefault="00E40E70">
    <w:pPr>
      <w:pStyle w:val="Header"/>
    </w:pPr>
    <w:r w:rsidRPr="00E40E70">
      <w:rPr>
        <w:rFonts w:ascii="Times New Roman" w:hAnsi="Times New Roman" w:cs="Times New Roman"/>
        <w:sz w:val="24"/>
        <w:szCs w:val="24"/>
      </w:rPr>
      <w:t>ORGANIZATIONAL READINESS SURVEY TOOL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B9929" w14:textId="77777777" w:rsidR="00A64B0F" w:rsidRPr="00E40E70" w:rsidRDefault="00A64B0F">
    <w:pPr>
      <w:pStyle w:val="Header"/>
      <w:rPr>
        <w:rFonts w:ascii="Times New Roman" w:hAnsi="Times New Roman" w:cs="Times New Roman"/>
        <w:sz w:val="24"/>
        <w:szCs w:val="24"/>
      </w:rPr>
    </w:pPr>
    <w:r w:rsidRPr="00E40E70">
      <w:rPr>
        <w:rFonts w:ascii="Times New Roman" w:hAnsi="Times New Roman" w:cs="Times New Roman"/>
        <w:sz w:val="24"/>
        <w:szCs w:val="24"/>
      </w:rPr>
      <w:t>Running Head:</w:t>
    </w:r>
    <w:r w:rsidR="00E40E70" w:rsidRPr="00E40E70">
      <w:rPr>
        <w:rFonts w:ascii="Times New Roman" w:hAnsi="Times New Roman" w:cs="Times New Roman"/>
        <w:sz w:val="24"/>
        <w:szCs w:val="24"/>
      </w:rPr>
      <w:t xml:space="preserve"> ORGANIZATIONAL READINESS SURVEY TOOL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E0MTU1NDI0NjGxNDJU0lEKTi0uzszPAykwrAUAWjzx4ywAAAA="/>
  </w:docVars>
  <w:rsids>
    <w:rsidRoot w:val="008042E6"/>
    <w:rsid w:val="000032A7"/>
    <w:rsid w:val="0000501F"/>
    <w:rsid w:val="00081BAC"/>
    <w:rsid w:val="000D3CE3"/>
    <w:rsid w:val="000D4BE5"/>
    <w:rsid w:val="000F15E1"/>
    <w:rsid w:val="00156211"/>
    <w:rsid w:val="001B7CE4"/>
    <w:rsid w:val="00236738"/>
    <w:rsid w:val="002741D7"/>
    <w:rsid w:val="00284D81"/>
    <w:rsid w:val="002923A8"/>
    <w:rsid w:val="00292515"/>
    <w:rsid w:val="002A5C3D"/>
    <w:rsid w:val="002C6534"/>
    <w:rsid w:val="002E6293"/>
    <w:rsid w:val="002F5B87"/>
    <w:rsid w:val="00322DA0"/>
    <w:rsid w:val="00331AF7"/>
    <w:rsid w:val="0034093F"/>
    <w:rsid w:val="0036053B"/>
    <w:rsid w:val="00373359"/>
    <w:rsid w:val="00390F44"/>
    <w:rsid w:val="00391F63"/>
    <w:rsid w:val="003C6C9C"/>
    <w:rsid w:val="003D1270"/>
    <w:rsid w:val="003D76F8"/>
    <w:rsid w:val="004053CB"/>
    <w:rsid w:val="0042290F"/>
    <w:rsid w:val="004701B4"/>
    <w:rsid w:val="004F6D2C"/>
    <w:rsid w:val="005914F2"/>
    <w:rsid w:val="005E4D2A"/>
    <w:rsid w:val="005F4C9F"/>
    <w:rsid w:val="00607C4F"/>
    <w:rsid w:val="0063202A"/>
    <w:rsid w:val="00651A5F"/>
    <w:rsid w:val="00670418"/>
    <w:rsid w:val="00685DDD"/>
    <w:rsid w:val="00692CCB"/>
    <w:rsid w:val="006F1428"/>
    <w:rsid w:val="00700676"/>
    <w:rsid w:val="007A4FF2"/>
    <w:rsid w:val="007D33C6"/>
    <w:rsid w:val="008042E6"/>
    <w:rsid w:val="00805BAD"/>
    <w:rsid w:val="00873564"/>
    <w:rsid w:val="00881E6B"/>
    <w:rsid w:val="00887FC0"/>
    <w:rsid w:val="008B148C"/>
    <w:rsid w:val="008E4972"/>
    <w:rsid w:val="008F145E"/>
    <w:rsid w:val="008F7528"/>
    <w:rsid w:val="0094397F"/>
    <w:rsid w:val="009C138D"/>
    <w:rsid w:val="009E360F"/>
    <w:rsid w:val="00A031E5"/>
    <w:rsid w:val="00A1096D"/>
    <w:rsid w:val="00A64B0F"/>
    <w:rsid w:val="00A71C12"/>
    <w:rsid w:val="00A84C17"/>
    <w:rsid w:val="00AD7FA0"/>
    <w:rsid w:val="00B12FFB"/>
    <w:rsid w:val="00B7284E"/>
    <w:rsid w:val="00B92C0C"/>
    <w:rsid w:val="00B9757D"/>
    <w:rsid w:val="00C10823"/>
    <w:rsid w:val="00C360E2"/>
    <w:rsid w:val="00C47A67"/>
    <w:rsid w:val="00C60593"/>
    <w:rsid w:val="00CB3A1E"/>
    <w:rsid w:val="00CB659C"/>
    <w:rsid w:val="00CF44C7"/>
    <w:rsid w:val="00D078D9"/>
    <w:rsid w:val="00D07EC4"/>
    <w:rsid w:val="00DA2BA3"/>
    <w:rsid w:val="00DA2D5E"/>
    <w:rsid w:val="00DB2E8B"/>
    <w:rsid w:val="00DF40B5"/>
    <w:rsid w:val="00E20728"/>
    <w:rsid w:val="00E40E70"/>
    <w:rsid w:val="00E53675"/>
    <w:rsid w:val="00E6388F"/>
    <w:rsid w:val="00EA6AEE"/>
    <w:rsid w:val="00F36B99"/>
    <w:rsid w:val="00FA47CD"/>
    <w:rsid w:val="00FA776B"/>
    <w:rsid w:val="00FD498E"/>
    <w:rsid w:val="00FF6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2DF6"/>
  <w15:chartTrackingRefBased/>
  <w15:docId w15:val="{16086D97-F3FC-46FB-91FC-8EE2904E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B0F"/>
  </w:style>
  <w:style w:type="paragraph" w:styleId="Footer">
    <w:name w:val="footer"/>
    <w:basedOn w:val="Normal"/>
    <w:link w:val="FooterChar"/>
    <w:uiPriority w:val="99"/>
    <w:unhideWhenUsed/>
    <w:rsid w:val="00A64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8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Viridiana Alcala Vargas</cp:lastModifiedBy>
  <cp:revision>4</cp:revision>
  <dcterms:created xsi:type="dcterms:W3CDTF">2019-10-10T00:19:00Z</dcterms:created>
  <dcterms:modified xsi:type="dcterms:W3CDTF">2019-10-14T13:13:00Z</dcterms:modified>
</cp:coreProperties>
</file>